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8E" w:rsidRPr="00371D9A" w:rsidRDefault="009E79C3" w:rsidP="00371D9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E79C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9E79C3">
        <w:rPr>
          <w:rFonts w:ascii="Arial" w:hAnsi="Arial" w:cs="Arial"/>
          <w:bCs/>
          <w:spacing w:val="-3"/>
          <w:sz w:val="22"/>
          <w:szCs w:val="22"/>
        </w:rPr>
        <w:t>Solar Bonus Scheme (the Scheme) provides for eligible participants</w:t>
      </w:r>
      <w:r w:rsidR="00251484">
        <w:rPr>
          <w:rFonts w:ascii="Arial" w:hAnsi="Arial" w:cs="Arial"/>
          <w:bCs/>
          <w:spacing w:val="-3"/>
          <w:sz w:val="22"/>
          <w:szCs w:val="22"/>
        </w:rPr>
        <w:t>, who</w:t>
      </w:r>
      <w:r w:rsidRPr="009E79C3">
        <w:rPr>
          <w:rFonts w:ascii="Arial" w:hAnsi="Arial" w:cs="Arial"/>
          <w:bCs/>
          <w:spacing w:val="-3"/>
          <w:sz w:val="22"/>
          <w:szCs w:val="22"/>
        </w:rPr>
        <w:t xml:space="preserve"> supply surplus electricity generated from solar photovoltaic (PV) systems into the Queensland electricity grid</w:t>
      </w:r>
      <w:r w:rsidR="00C44C6A">
        <w:rPr>
          <w:rFonts w:ascii="Arial" w:hAnsi="Arial" w:cs="Arial"/>
          <w:bCs/>
          <w:spacing w:val="-3"/>
          <w:sz w:val="22"/>
          <w:szCs w:val="22"/>
        </w:rPr>
        <w:t>, to be paid a feed-in tariff (FiT)</w:t>
      </w:r>
      <w:r w:rsidRPr="009E79C3">
        <w:rPr>
          <w:rFonts w:ascii="Arial" w:hAnsi="Arial" w:cs="Arial"/>
          <w:bCs/>
          <w:spacing w:val="-3"/>
          <w:sz w:val="22"/>
          <w:szCs w:val="22"/>
        </w:rPr>
        <w:t>.</w:t>
      </w:r>
      <w:r w:rsidR="00653B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 xml:space="preserve">Participants in the Scheme are paid </w:t>
      </w:r>
      <w:r w:rsidR="00C12FE2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>FiT</w:t>
      </w:r>
      <w:r w:rsidR="0026229F">
        <w:rPr>
          <w:rFonts w:ascii="Arial" w:hAnsi="Arial" w:cs="Arial"/>
          <w:bCs/>
          <w:spacing w:val="-3"/>
          <w:sz w:val="22"/>
          <w:szCs w:val="22"/>
        </w:rPr>
        <w:t xml:space="preserve"> of either 44 or 8 </w:t>
      </w:r>
      <w:r w:rsidR="00653B8E">
        <w:rPr>
          <w:rFonts w:ascii="Arial" w:hAnsi="Arial" w:cs="Arial"/>
          <w:bCs/>
          <w:spacing w:val="-3"/>
          <w:sz w:val="22"/>
          <w:szCs w:val="22"/>
        </w:rPr>
        <w:t>cents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 xml:space="preserve"> per kilowatt hour (c/kWh) for their surplus</w:t>
      </w:r>
      <w:r w:rsidR="00395119">
        <w:rPr>
          <w:rFonts w:ascii="Arial" w:hAnsi="Arial" w:cs="Arial"/>
          <w:bCs/>
          <w:spacing w:val="-3"/>
          <w:sz w:val="22"/>
          <w:szCs w:val="22"/>
        </w:rPr>
        <w:t xml:space="preserve"> exported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 xml:space="preserve"> electricity.</w:t>
      </w:r>
      <w:r w:rsidR="00371D9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53B8E" w:rsidRPr="00371D9A">
        <w:rPr>
          <w:rFonts w:ascii="Arial" w:hAnsi="Arial" w:cs="Arial"/>
          <w:bCs/>
          <w:spacing w:val="-3"/>
          <w:sz w:val="22"/>
          <w:szCs w:val="22"/>
        </w:rPr>
        <w:t xml:space="preserve">The FiT is paid by distributors and costs are passed through to </w:t>
      </w:r>
      <w:r w:rsidR="00513F86">
        <w:rPr>
          <w:rFonts w:ascii="Arial" w:hAnsi="Arial" w:cs="Arial"/>
          <w:bCs/>
          <w:spacing w:val="-3"/>
          <w:sz w:val="22"/>
          <w:szCs w:val="22"/>
        </w:rPr>
        <w:t>electricity</w:t>
      </w:r>
      <w:r w:rsidR="00653B8E" w:rsidRPr="00371D9A">
        <w:rPr>
          <w:rFonts w:ascii="Arial" w:hAnsi="Arial" w:cs="Arial"/>
          <w:bCs/>
          <w:spacing w:val="-3"/>
          <w:sz w:val="22"/>
          <w:szCs w:val="22"/>
        </w:rPr>
        <w:t xml:space="preserve"> customers via network </w:t>
      </w:r>
      <w:r w:rsidR="00D13E63">
        <w:rPr>
          <w:rFonts w:ascii="Arial" w:hAnsi="Arial" w:cs="Arial"/>
          <w:bCs/>
          <w:spacing w:val="-3"/>
          <w:sz w:val="22"/>
          <w:szCs w:val="22"/>
        </w:rPr>
        <w:t>prices</w:t>
      </w:r>
      <w:r w:rsidR="00653B8E" w:rsidRPr="00371D9A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653B8E" w:rsidRDefault="0039511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early 2012</w:t>
      </w:r>
      <w:r w:rsidR="0026229F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C44C6A">
        <w:rPr>
          <w:rFonts w:ascii="Arial" w:hAnsi="Arial" w:cs="Arial"/>
          <w:bCs/>
          <w:spacing w:val="-3"/>
          <w:sz w:val="22"/>
          <w:szCs w:val="22"/>
        </w:rPr>
        <w:t xml:space="preserve">total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cost of the Scheme </w:t>
      </w:r>
      <w:r w:rsidR="00D13E63">
        <w:rPr>
          <w:rFonts w:ascii="Arial" w:hAnsi="Arial" w:cs="Arial"/>
          <w:bCs/>
          <w:spacing w:val="-3"/>
          <w:sz w:val="22"/>
          <w:szCs w:val="22"/>
        </w:rPr>
        <w:t xml:space="preserve">to 2028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estimated at $1.8 billion. </w:t>
      </w:r>
      <w:r w:rsidR="00653B8E">
        <w:rPr>
          <w:rFonts w:ascii="Arial" w:hAnsi="Arial" w:cs="Arial"/>
          <w:bCs/>
          <w:spacing w:val="-3"/>
          <w:sz w:val="22"/>
          <w:szCs w:val="22"/>
        </w:rPr>
        <w:t xml:space="preserve">Government made changes to the Scheme in </w:t>
      </w:r>
      <w:r>
        <w:rPr>
          <w:rFonts w:ascii="Arial" w:hAnsi="Arial" w:cs="Arial"/>
          <w:bCs/>
          <w:spacing w:val="-3"/>
          <w:sz w:val="22"/>
          <w:szCs w:val="22"/>
        </w:rPr>
        <w:t>mid-</w:t>
      </w:r>
      <w:r w:rsidR="00653B8E">
        <w:rPr>
          <w:rFonts w:ascii="Arial" w:hAnsi="Arial" w:cs="Arial"/>
          <w:bCs/>
          <w:spacing w:val="-3"/>
          <w:sz w:val="22"/>
          <w:szCs w:val="22"/>
        </w:rPr>
        <w:t xml:space="preserve">2012 to limit its costs and impact on electricity pricing. 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>Government closed the 44 c/kWh FiT to new customers, legislated to prevent the transfer of the 44 c/kWh rate between electricity customers, and introduced an 8</w:t>
      </w:r>
      <w:r w:rsidR="00251484">
        <w:rPr>
          <w:rFonts w:ascii="Arial" w:hAnsi="Arial" w:cs="Arial"/>
          <w:bCs/>
          <w:spacing w:val="-3"/>
          <w:sz w:val="22"/>
          <w:szCs w:val="22"/>
        </w:rPr>
        <w:t> 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>c/kWh rate for new customers</w:t>
      </w:r>
      <w:r w:rsidR="00D13E63">
        <w:rPr>
          <w:rFonts w:ascii="Arial" w:hAnsi="Arial" w:cs="Arial"/>
          <w:bCs/>
          <w:spacing w:val="-3"/>
          <w:sz w:val="22"/>
          <w:szCs w:val="22"/>
        </w:rPr>
        <w:t>.  The 8</w:t>
      </w:r>
      <w:r w:rsidR="00251484">
        <w:rPr>
          <w:rFonts w:ascii="Arial" w:hAnsi="Arial" w:cs="Arial"/>
          <w:bCs/>
          <w:spacing w:val="-3"/>
          <w:sz w:val="22"/>
          <w:szCs w:val="22"/>
        </w:rPr>
        <w:t> </w:t>
      </w:r>
      <w:r w:rsidR="00D13E63">
        <w:rPr>
          <w:rFonts w:ascii="Arial" w:hAnsi="Arial" w:cs="Arial"/>
          <w:bCs/>
          <w:spacing w:val="-3"/>
          <w:sz w:val="22"/>
          <w:szCs w:val="22"/>
        </w:rPr>
        <w:t>c/kWh arrangement was made to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 xml:space="preserve"> end</w:t>
      </w:r>
      <w:r w:rsidR="00D13E63">
        <w:rPr>
          <w:rFonts w:ascii="Arial" w:hAnsi="Arial" w:cs="Arial"/>
          <w:bCs/>
          <w:spacing w:val="-3"/>
          <w:sz w:val="22"/>
          <w:szCs w:val="22"/>
        </w:rPr>
        <w:t xml:space="preserve"> on</w:t>
      </w:r>
      <w:r w:rsidR="00653B8E" w:rsidRPr="00653B8E">
        <w:rPr>
          <w:rFonts w:ascii="Arial" w:hAnsi="Arial" w:cs="Arial"/>
          <w:bCs/>
          <w:spacing w:val="-3"/>
          <w:sz w:val="22"/>
          <w:szCs w:val="22"/>
        </w:rPr>
        <w:t xml:space="preserve"> 30 June 2014.</w:t>
      </w:r>
    </w:p>
    <w:p w:rsidR="00FA5F2C" w:rsidRPr="00FA5F2C" w:rsidRDefault="00653B8E" w:rsidP="00FA5F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FA5F2C">
        <w:rPr>
          <w:rFonts w:ascii="Arial" w:hAnsi="Arial" w:cs="Arial"/>
          <w:bCs/>
          <w:spacing w:val="-3"/>
          <w:sz w:val="22"/>
          <w:szCs w:val="22"/>
        </w:rPr>
        <w:t xml:space="preserve"> a report released in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March 2013</w:t>
      </w:r>
      <w:r w:rsidR="0026229F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Queensland Competition Authority</w:t>
      </w:r>
      <w:r w:rsidR="00577FB2">
        <w:rPr>
          <w:rFonts w:ascii="Arial" w:hAnsi="Arial" w:cs="Arial"/>
          <w:bCs/>
          <w:spacing w:val="-3"/>
          <w:sz w:val="22"/>
          <w:szCs w:val="22"/>
        </w:rPr>
        <w:t xml:space="preserve"> (QCA)</w:t>
      </w:r>
      <w:r w:rsidR="002D2AD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forecast that the Scheme will </w:t>
      </w:r>
      <w:r w:rsidR="00251484">
        <w:rPr>
          <w:rFonts w:ascii="Arial" w:hAnsi="Arial" w:cs="Arial"/>
          <w:bCs/>
          <w:spacing w:val="-3"/>
          <w:sz w:val="22"/>
          <w:szCs w:val="22"/>
        </w:rPr>
        <w:t xml:space="preserve">nominally </w:t>
      </w:r>
      <w:r w:rsidR="0026229F">
        <w:rPr>
          <w:rFonts w:ascii="Arial" w:hAnsi="Arial" w:cs="Arial"/>
          <w:bCs/>
          <w:spacing w:val="-3"/>
          <w:sz w:val="22"/>
          <w:szCs w:val="22"/>
        </w:rPr>
        <w:t>cost $3.3 billion to 2028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that </w:t>
      </w:r>
      <w:r w:rsidR="002D2AD3">
        <w:rPr>
          <w:rFonts w:ascii="Arial" w:hAnsi="Arial" w:cs="Arial"/>
          <w:bCs/>
          <w:spacing w:val="-3"/>
          <w:sz w:val="22"/>
          <w:szCs w:val="22"/>
        </w:rPr>
        <w:t>Scheme</w:t>
      </w:r>
      <w:r w:rsidR="00D13E63">
        <w:rPr>
          <w:rFonts w:ascii="Arial" w:hAnsi="Arial" w:cs="Arial"/>
          <w:bCs/>
          <w:spacing w:val="-3"/>
          <w:sz w:val="22"/>
          <w:szCs w:val="22"/>
        </w:rPr>
        <w:t>-</w:t>
      </w:r>
      <w:r w:rsidR="002D2AD3">
        <w:rPr>
          <w:rFonts w:ascii="Arial" w:hAnsi="Arial" w:cs="Arial"/>
          <w:bCs/>
          <w:spacing w:val="-3"/>
          <w:sz w:val="22"/>
          <w:szCs w:val="22"/>
        </w:rPr>
        <w:t xml:space="preserve">related bill impacts for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average </w:t>
      </w:r>
      <w:r w:rsidR="002D2AD3">
        <w:rPr>
          <w:rFonts w:ascii="Arial" w:hAnsi="Arial" w:cs="Arial"/>
          <w:bCs/>
          <w:spacing w:val="-3"/>
          <w:sz w:val="22"/>
          <w:szCs w:val="22"/>
        </w:rPr>
        <w:t>Tariff 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customer </w:t>
      </w:r>
      <w:r w:rsidR="002D2AD3">
        <w:rPr>
          <w:rFonts w:ascii="Arial" w:hAnsi="Arial" w:cs="Arial"/>
          <w:bCs/>
          <w:spacing w:val="-3"/>
          <w:sz w:val="22"/>
          <w:szCs w:val="22"/>
        </w:rPr>
        <w:t>will peak 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D2AD3">
        <w:rPr>
          <w:rFonts w:ascii="Arial" w:hAnsi="Arial" w:cs="Arial"/>
          <w:bCs/>
          <w:spacing w:val="-3"/>
          <w:sz w:val="22"/>
          <w:szCs w:val="22"/>
        </w:rPr>
        <w:t>$276 in 2015</w:t>
      </w:r>
      <w:r w:rsidR="00577FB2">
        <w:rPr>
          <w:rFonts w:ascii="Arial" w:hAnsi="Arial" w:cs="Arial"/>
          <w:bCs/>
          <w:spacing w:val="-3"/>
          <w:sz w:val="22"/>
          <w:szCs w:val="22"/>
        </w:rPr>
        <w:t>–</w:t>
      </w:r>
      <w:r w:rsidR="002D2AD3">
        <w:rPr>
          <w:rFonts w:ascii="Arial" w:hAnsi="Arial" w:cs="Arial"/>
          <w:bCs/>
          <w:spacing w:val="-3"/>
          <w:sz w:val="22"/>
          <w:szCs w:val="22"/>
        </w:rPr>
        <w:t>16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="00FA5F2C" w:rsidRPr="00FA5F2C">
        <w:rPr>
          <w:rFonts w:ascii="Arial" w:hAnsi="Arial" w:cs="Arial"/>
          <w:bCs/>
          <w:spacing w:val="-3"/>
          <w:sz w:val="22"/>
          <w:szCs w:val="22"/>
        </w:rPr>
        <w:t xml:space="preserve"> The QCA</w:t>
      </w:r>
      <w:r w:rsidR="00FA5F2C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="00FA5F2C" w:rsidRPr="00FA5F2C">
        <w:rPr>
          <w:rFonts w:ascii="Arial" w:hAnsi="Arial" w:cs="Arial"/>
          <w:bCs/>
          <w:spacing w:val="-3"/>
          <w:sz w:val="22"/>
          <w:szCs w:val="22"/>
        </w:rPr>
        <w:t xml:space="preserve"> found the most realistic options to address Scheme costs and bill impacts to be:</w:t>
      </w:r>
    </w:p>
    <w:p w:rsidR="00FA5F2C" w:rsidRPr="00FA5F2C" w:rsidRDefault="00FA5F2C" w:rsidP="0026229F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a mandatory retailer contribution to the 44 c/kWh FiT, set at a ‘fair and reasonable’ value (around 7 c/kWh in 2013–14) and reviewed annually; and </w:t>
      </w:r>
    </w:p>
    <w:p w:rsidR="00FA5F2C" w:rsidRPr="00FA5F2C" w:rsidRDefault="00FA5F2C" w:rsidP="0026229F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a requirement for solar PV customers to move to Time of Use pricing (Tariff 12). </w:t>
      </w:r>
    </w:p>
    <w:p w:rsidR="00FA5F2C" w:rsidRPr="00FA5F2C" w:rsidRDefault="00FA5F2C" w:rsidP="00FA5F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QCA report recommended </w:t>
      </w:r>
      <w:r w:rsidRPr="00FA5F2C">
        <w:rPr>
          <w:rFonts w:ascii="Arial" w:hAnsi="Arial" w:cs="Arial"/>
          <w:bCs/>
          <w:spacing w:val="-3"/>
          <w:sz w:val="22"/>
          <w:szCs w:val="22"/>
        </w:rPr>
        <w:t>future FiT arrangements</w:t>
      </w:r>
      <w:r>
        <w:rPr>
          <w:rFonts w:ascii="Arial" w:hAnsi="Arial" w:cs="Arial"/>
          <w:bCs/>
          <w:spacing w:val="-3"/>
          <w:sz w:val="22"/>
          <w:szCs w:val="22"/>
        </w:rPr>
        <w:t>, including</w:t>
      </w:r>
      <w:r w:rsidRPr="00FA5F2C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FA5F2C" w:rsidRPr="00FA5F2C" w:rsidRDefault="00FA5F2C" w:rsidP="0026229F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a market-driven rate in </w:t>
      </w:r>
      <w:r w:rsidR="00251484" w:rsidRPr="00D67F5D">
        <w:rPr>
          <w:rFonts w:ascii="Arial" w:hAnsi="Arial" w:cs="Arial"/>
          <w:bCs/>
          <w:spacing w:val="-3"/>
          <w:sz w:val="22"/>
          <w:szCs w:val="22"/>
        </w:rPr>
        <w:t xml:space="preserve">South East Queensland </w:t>
      </w:r>
      <w:r w:rsidR="00251484">
        <w:rPr>
          <w:rFonts w:ascii="Arial" w:hAnsi="Arial" w:cs="Arial"/>
          <w:bCs/>
          <w:spacing w:val="-3"/>
          <w:sz w:val="22"/>
          <w:szCs w:val="22"/>
        </w:rPr>
        <w:t>(</w:t>
      </w:r>
      <w:r w:rsidRPr="00FA5F2C">
        <w:rPr>
          <w:rFonts w:ascii="Arial" w:hAnsi="Arial" w:cs="Arial"/>
          <w:bCs/>
          <w:spacing w:val="-3"/>
          <w:sz w:val="22"/>
          <w:szCs w:val="22"/>
        </w:rPr>
        <w:t>SEQ</w:t>
      </w:r>
      <w:r w:rsidR="00251484">
        <w:rPr>
          <w:rFonts w:ascii="Arial" w:hAnsi="Arial" w:cs="Arial"/>
          <w:bCs/>
          <w:spacing w:val="-3"/>
          <w:sz w:val="22"/>
          <w:szCs w:val="22"/>
        </w:rPr>
        <w:t>)</w:t>
      </w:r>
      <w:r w:rsidRPr="00FA5F2C">
        <w:rPr>
          <w:rFonts w:ascii="Arial" w:hAnsi="Arial" w:cs="Arial"/>
          <w:bCs/>
          <w:spacing w:val="-3"/>
          <w:sz w:val="22"/>
          <w:szCs w:val="22"/>
        </w:rPr>
        <w:t>, on the basis that the SEQ market is capable of offering a fair and reasonable FiT without regulatory intervention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A5F2C" w:rsidRPr="00FA5F2C" w:rsidRDefault="00FA5F2C" w:rsidP="0026229F">
      <w:pPr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A5F2C">
        <w:rPr>
          <w:rFonts w:ascii="Arial" w:hAnsi="Arial" w:cs="Arial"/>
          <w:bCs/>
          <w:spacing w:val="-3"/>
          <w:sz w:val="22"/>
          <w:szCs w:val="22"/>
        </w:rPr>
        <w:t>Ergon Energy’s retail business (E</w:t>
      </w:r>
      <w:r w:rsidR="00251484">
        <w:rPr>
          <w:rFonts w:ascii="Arial" w:hAnsi="Arial" w:cs="Arial"/>
          <w:bCs/>
          <w:spacing w:val="-3"/>
          <w:sz w:val="22"/>
          <w:szCs w:val="22"/>
        </w:rPr>
        <w:t>rgon Energy Queensland – EEQ</w:t>
      </w: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) pay a mandatory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fair and reasonable </w:t>
      </w:r>
      <w:r w:rsidRPr="00FA5F2C">
        <w:rPr>
          <w:rFonts w:ascii="Arial" w:hAnsi="Arial" w:cs="Arial"/>
          <w:bCs/>
          <w:spacing w:val="-3"/>
          <w:sz w:val="22"/>
          <w:szCs w:val="22"/>
        </w:rPr>
        <w:t>FiT to replace the existing 8 c/kWh distributor</w:t>
      </w:r>
      <w:r w:rsidRPr="00FA5F2C">
        <w:rPr>
          <w:rFonts w:ascii="Arial" w:hAnsi="Arial" w:cs="Arial"/>
          <w:bCs/>
          <w:spacing w:val="-3"/>
          <w:sz w:val="22"/>
          <w:szCs w:val="22"/>
        </w:rPr>
        <w:noBreakHyphen/>
        <w:t>funded FiT</w:t>
      </w:r>
      <w:r w:rsidR="00251484">
        <w:rPr>
          <w:rFonts w:ascii="Arial" w:hAnsi="Arial" w:cs="Arial"/>
          <w:bCs/>
          <w:spacing w:val="-3"/>
          <w:sz w:val="22"/>
          <w:szCs w:val="22"/>
        </w:rPr>
        <w:t>,</w:t>
      </w:r>
      <w:r w:rsidRPr="00FA5F2C">
        <w:rPr>
          <w:rFonts w:ascii="Arial" w:hAnsi="Arial" w:cs="Arial"/>
          <w:bCs/>
          <w:spacing w:val="-3"/>
          <w:sz w:val="22"/>
          <w:szCs w:val="22"/>
        </w:rPr>
        <w:t xml:space="preserve"> on the basis that without competitive pressure EEQ is unlikely to offer a fair FiT if the 8 c/kWh FiT ceases. </w:t>
      </w:r>
    </w:p>
    <w:p w:rsidR="00DD0C4B" w:rsidRDefault="00D67F5D" w:rsidP="00C82D4E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3663">
        <w:rPr>
          <w:rFonts w:ascii="Arial" w:hAnsi="Arial" w:cs="Arial"/>
          <w:bCs/>
          <w:spacing w:val="-3"/>
          <w:sz w:val="22"/>
          <w:szCs w:val="22"/>
          <w:u w:val="single"/>
        </w:rPr>
        <w:t>Cabinet agreed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that the </w:t>
      </w:r>
      <w:r w:rsidR="007171C1">
        <w:rPr>
          <w:rFonts w:ascii="Arial" w:hAnsi="Arial" w:cs="Arial"/>
          <w:bCs/>
          <w:spacing w:val="-3"/>
          <w:sz w:val="22"/>
          <w:szCs w:val="22"/>
        </w:rPr>
        <w:t xml:space="preserve">electricity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retail market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determine </w:t>
      </w:r>
      <w:r w:rsidR="00C82D4E">
        <w:rPr>
          <w:rFonts w:ascii="Arial" w:hAnsi="Arial" w:cs="Arial"/>
          <w:bCs/>
          <w:spacing w:val="-3"/>
          <w:sz w:val="22"/>
          <w:szCs w:val="22"/>
        </w:rPr>
        <w:t>feed-in tariffs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for </w:t>
      </w:r>
      <w:r w:rsidR="00603663">
        <w:rPr>
          <w:rFonts w:ascii="Arial" w:hAnsi="Arial" w:cs="Arial"/>
          <w:bCs/>
          <w:spacing w:val="-3"/>
          <w:sz w:val="22"/>
          <w:szCs w:val="22"/>
        </w:rPr>
        <w:t>South East Queensland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customers from 1 July 2014, once the 8 c</w:t>
      </w:r>
      <w:r w:rsidR="007171C1">
        <w:rPr>
          <w:rFonts w:ascii="Arial" w:hAnsi="Arial" w:cs="Arial"/>
          <w:bCs/>
          <w:spacing w:val="-3"/>
          <w:sz w:val="22"/>
          <w:szCs w:val="22"/>
        </w:rPr>
        <w:t xml:space="preserve">/kWh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distributor funded </w:t>
      </w:r>
      <w:r w:rsidR="00C82D4E">
        <w:rPr>
          <w:rFonts w:ascii="Arial" w:hAnsi="Arial" w:cs="Arial"/>
          <w:bCs/>
          <w:spacing w:val="-3"/>
          <w:sz w:val="22"/>
          <w:szCs w:val="22"/>
        </w:rPr>
        <w:t>feed-in tariff</w:t>
      </w:r>
      <w:r w:rsidR="007171C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67F5D">
        <w:rPr>
          <w:rFonts w:ascii="Arial" w:hAnsi="Arial" w:cs="Arial"/>
          <w:bCs/>
          <w:spacing w:val="-3"/>
          <w:sz w:val="22"/>
          <w:szCs w:val="22"/>
        </w:rPr>
        <w:t>ends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62948" w:rsidRDefault="00D67F5D" w:rsidP="0059548C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3663">
        <w:rPr>
          <w:rFonts w:ascii="Arial" w:hAnsi="Arial" w:cs="Arial"/>
          <w:bCs/>
          <w:spacing w:val="-3"/>
          <w:sz w:val="22"/>
          <w:szCs w:val="22"/>
          <w:u w:val="single"/>
        </w:rPr>
        <w:t>Cabinet agreed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to replace the 8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/kWh </w:t>
      </w:r>
      <w:r w:rsidR="00C82D4E">
        <w:rPr>
          <w:rFonts w:ascii="Arial" w:hAnsi="Arial" w:cs="Arial"/>
          <w:bCs/>
          <w:spacing w:val="-3"/>
          <w:sz w:val="22"/>
          <w:szCs w:val="22"/>
        </w:rPr>
        <w:t>feed-in tariff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for all small customers of </w:t>
      </w:r>
      <w:r w:rsidR="00603663">
        <w:rPr>
          <w:rFonts w:ascii="Arial" w:hAnsi="Arial" w:cs="Arial"/>
          <w:bCs/>
          <w:spacing w:val="-3"/>
          <w:sz w:val="22"/>
          <w:szCs w:val="22"/>
        </w:rPr>
        <w:t>Ergon Energy Queensland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, with </w:t>
      </w:r>
      <w:r w:rsidR="00603663">
        <w:rPr>
          <w:rFonts w:ascii="Arial" w:hAnsi="Arial" w:cs="Arial"/>
          <w:bCs/>
          <w:spacing w:val="-3"/>
          <w:sz w:val="22"/>
          <w:szCs w:val="22"/>
        </w:rPr>
        <w:t>Ergon Energy Queensland</w:t>
      </w:r>
      <w:r w:rsidR="00603663" w:rsidRPr="00D67F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funded </w:t>
      </w:r>
      <w:r w:rsidR="00603663">
        <w:rPr>
          <w:rFonts w:ascii="Arial" w:hAnsi="Arial" w:cs="Arial"/>
          <w:bCs/>
          <w:spacing w:val="-3"/>
          <w:sz w:val="22"/>
          <w:szCs w:val="22"/>
        </w:rPr>
        <w:t xml:space="preserve">feed-in tariffs </w:t>
      </w:r>
      <w:r w:rsidR="0056621D">
        <w:rPr>
          <w:rFonts w:ascii="Arial" w:hAnsi="Arial" w:cs="Arial"/>
          <w:bCs/>
          <w:spacing w:val="-3"/>
          <w:sz w:val="22"/>
          <w:szCs w:val="22"/>
        </w:rPr>
        <w:t>set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by the Queensland Competition Authority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(QCA)</w:t>
      </w:r>
      <w:r w:rsidR="00175B10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QCA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6621D">
        <w:rPr>
          <w:rFonts w:ascii="Arial" w:hAnsi="Arial" w:cs="Arial"/>
          <w:bCs/>
          <w:spacing w:val="-3"/>
          <w:sz w:val="22"/>
          <w:szCs w:val="22"/>
        </w:rPr>
        <w:t>at a future date would</w:t>
      </w:r>
      <w:r w:rsidRPr="00D67F5D">
        <w:rPr>
          <w:rFonts w:ascii="Arial" w:hAnsi="Arial" w:cs="Arial"/>
          <w:bCs/>
          <w:spacing w:val="-3"/>
          <w:sz w:val="22"/>
          <w:szCs w:val="22"/>
        </w:rPr>
        <w:t xml:space="preserve"> advise Government on the ongoing appropriateness of the </w:t>
      </w:r>
      <w:r w:rsidR="0056621D">
        <w:rPr>
          <w:rFonts w:ascii="Arial" w:hAnsi="Arial" w:cs="Arial"/>
          <w:bCs/>
          <w:spacing w:val="-3"/>
          <w:sz w:val="22"/>
          <w:szCs w:val="22"/>
        </w:rPr>
        <w:t xml:space="preserve">requirement to pay the </w:t>
      </w:r>
      <w:r w:rsidR="00603663">
        <w:rPr>
          <w:rFonts w:ascii="Arial" w:hAnsi="Arial" w:cs="Arial"/>
          <w:bCs/>
          <w:spacing w:val="-3"/>
          <w:sz w:val="22"/>
          <w:szCs w:val="22"/>
        </w:rPr>
        <w:t>feed-in tariff</w:t>
      </w:r>
      <w:r w:rsidR="00603663" w:rsidRPr="00D67F5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67F5D">
        <w:rPr>
          <w:rFonts w:ascii="Arial" w:hAnsi="Arial" w:cs="Arial"/>
          <w:bCs/>
          <w:spacing w:val="-3"/>
          <w:sz w:val="22"/>
          <w:szCs w:val="22"/>
        </w:rPr>
        <w:t>as competition emerges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6229F" w:rsidRDefault="0026229F" w:rsidP="0026229F">
      <w:pPr>
        <w:numPr>
          <w:ilvl w:val="0"/>
          <w:numId w:val="1"/>
        </w:numPr>
        <w:tabs>
          <w:tab w:val="clear" w:pos="720"/>
        </w:tabs>
        <w:spacing w:before="360"/>
        <w:ind w:left="425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26229F" w:rsidRPr="0059548C" w:rsidRDefault="0026229F" w:rsidP="0026229F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6229F" w:rsidRPr="0059548C" w:rsidSect="0026229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2F" w:rsidRDefault="00E81C2F" w:rsidP="00D6589B">
      <w:r>
        <w:separator/>
      </w:r>
    </w:p>
  </w:endnote>
  <w:endnote w:type="continuationSeparator" w:id="0">
    <w:p w:rsidR="00E81C2F" w:rsidRDefault="00E81C2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2F" w:rsidRDefault="00E81C2F" w:rsidP="00D6589B">
      <w:r>
        <w:separator/>
      </w:r>
    </w:p>
  </w:footnote>
  <w:footnote w:type="continuationSeparator" w:id="0">
    <w:p w:rsidR="00E81C2F" w:rsidRDefault="00E81C2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663" w:rsidRPr="00937A4A" w:rsidRDefault="0060366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03663" w:rsidRPr="00937A4A" w:rsidRDefault="0060366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603663" w:rsidRPr="00937A4A" w:rsidRDefault="0060366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2013</w:t>
    </w:r>
  </w:p>
  <w:p w:rsidR="00603663" w:rsidRDefault="0060366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Options to address solar PV costs</w:t>
    </w:r>
  </w:p>
  <w:p w:rsidR="00603663" w:rsidRDefault="0060366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603663" w:rsidRDefault="00603663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5C47"/>
    <w:multiLevelType w:val="hybridMultilevel"/>
    <w:tmpl w:val="C9DA6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C23DF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E238C"/>
    <w:multiLevelType w:val="hybridMultilevel"/>
    <w:tmpl w:val="C63A41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D96B39"/>
    <w:multiLevelType w:val="hybridMultilevel"/>
    <w:tmpl w:val="6548D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5003D"/>
    <w:multiLevelType w:val="hybridMultilevel"/>
    <w:tmpl w:val="97D424FE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75BE4382"/>
    <w:multiLevelType w:val="hybridMultilevel"/>
    <w:tmpl w:val="FCDE644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643ECE"/>
    <w:multiLevelType w:val="hybridMultilevel"/>
    <w:tmpl w:val="85ACB22A"/>
    <w:lvl w:ilvl="0" w:tplc="58E020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35D7"/>
    <w:rsid w:val="00012473"/>
    <w:rsid w:val="00034F15"/>
    <w:rsid w:val="00076315"/>
    <w:rsid w:val="00080F8F"/>
    <w:rsid w:val="00082CBB"/>
    <w:rsid w:val="00086877"/>
    <w:rsid w:val="000D1ADA"/>
    <w:rsid w:val="0010384C"/>
    <w:rsid w:val="00121887"/>
    <w:rsid w:val="00124292"/>
    <w:rsid w:val="00135433"/>
    <w:rsid w:val="00137666"/>
    <w:rsid w:val="00174117"/>
    <w:rsid w:val="00175B10"/>
    <w:rsid w:val="0019760E"/>
    <w:rsid w:val="001B0A36"/>
    <w:rsid w:val="001C18F1"/>
    <w:rsid w:val="001D4913"/>
    <w:rsid w:val="00243BE9"/>
    <w:rsid w:val="0024507F"/>
    <w:rsid w:val="00247F58"/>
    <w:rsid w:val="00251484"/>
    <w:rsid w:val="0026229F"/>
    <w:rsid w:val="00263537"/>
    <w:rsid w:val="002A1C57"/>
    <w:rsid w:val="002D2AD3"/>
    <w:rsid w:val="002E27BD"/>
    <w:rsid w:val="00323C8A"/>
    <w:rsid w:val="00371D9A"/>
    <w:rsid w:val="00395119"/>
    <w:rsid w:val="003B5670"/>
    <w:rsid w:val="003F1AD2"/>
    <w:rsid w:val="00404335"/>
    <w:rsid w:val="00425F1F"/>
    <w:rsid w:val="0043130A"/>
    <w:rsid w:val="004341B0"/>
    <w:rsid w:val="004563BF"/>
    <w:rsid w:val="00473756"/>
    <w:rsid w:val="00491625"/>
    <w:rsid w:val="004A1888"/>
    <w:rsid w:val="004D1D82"/>
    <w:rsid w:val="004D21EB"/>
    <w:rsid w:val="004D3FB2"/>
    <w:rsid w:val="00501C66"/>
    <w:rsid w:val="005045E2"/>
    <w:rsid w:val="00510D5C"/>
    <w:rsid w:val="00513F86"/>
    <w:rsid w:val="005260C3"/>
    <w:rsid w:val="00532DCF"/>
    <w:rsid w:val="0053485D"/>
    <w:rsid w:val="0054551E"/>
    <w:rsid w:val="0054673B"/>
    <w:rsid w:val="00550873"/>
    <w:rsid w:val="00554BB7"/>
    <w:rsid w:val="00562948"/>
    <w:rsid w:val="00563133"/>
    <w:rsid w:val="0056621D"/>
    <w:rsid w:val="00577FB2"/>
    <w:rsid w:val="00583DE8"/>
    <w:rsid w:val="00586227"/>
    <w:rsid w:val="0059548C"/>
    <w:rsid w:val="0059630D"/>
    <w:rsid w:val="005C7843"/>
    <w:rsid w:val="00603663"/>
    <w:rsid w:val="006044A0"/>
    <w:rsid w:val="0061094C"/>
    <w:rsid w:val="00653B8E"/>
    <w:rsid w:val="00657C15"/>
    <w:rsid w:val="006A1392"/>
    <w:rsid w:val="006E5EA1"/>
    <w:rsid w:val="006E70BE"/>
    <w:rsid w:val="00711A8A"/>
    <w:rsid w:val="007171C1"/>
    <w:rsid w:val="00720CFE"/>
    <w:rsid w:val="007265D0"/>
    <w:rsid w:val="00732E22"/>
    <w:rsid w:val="00734208"/>
    <w:rsid w:val="00734D9D"/>
    <w:rsid w:val="00741C20"/>
    <w:rsid w:val="007557A5"/>
    <w:rsid w:val="007C76D7"/>
    <w:rsid w:val="00816A43"/>
    <w:rsid w:val="008203A9"/>
    <w:rsid w:val="00837B24"/>
    <w:rsid w:val="00855D85"/>
    <w:rsid w:val="00870EDD"/>
    <w:rsid w:val="008869EA"/>
    <w:rsid w:val="008B212F"/>
    <w:rsid w:val="008B4904"/>
    <w:rsid w:val="008B67AD"/>
    <w:rsid w:val="008D25CE"/>
    <w:rsid w:val="00904077"/>
    <w:rsid w:val="00937A4A"/>
    <w:rsid w:val="00945402"/>
    <w:rsid w:val="00954244"/>
    <w:rsid w:val="00975028"/>
    <w:rsid w:val="009E79C3"/>
    <w:rsid w:val="00A11636"/>
    <w:rsid w:val="00A1630E"/>
    <w:rsid w:val="00A42CA0"/>
    <w:rsid w:val="00A6193F"/>
    <w:rsid w:val="00AA709B"/>
    <w:rsid w:val="00AB4E59"/>
    <w:rsid w:val="00AE3AC6"/>
    <w:rsid w:val="00B227A6"/>
    <w:rsid w:val="00B358F9"/>
    <w:rsid w:val="00B35A45"/>
    <w:rsid w:val="00B95D69"/>
    <w:rsid w:val="00C01946"/>
    <w:rsid w:val="00C12FE2"/>
    <w:rsid w:val="00C262A9"/>
    <w:rsid w:val="00C434B4"/>
    <w:rsid w:val="00C44C6A"/>
    <w:rsid w:val="00C75E67"/>
    <w:rsid w:val="00C82D4E"/>
    <w:rsid w:val="00CB1501"/>
    <w:rsid w:val="00CD7A50"/>
    <w:rsid w:val="00CF0D8A"/>
    <w:rsid w:val="00CF76F4"/>
    <w:rsid w:val="00D01045"/>
    <w:rsid w:val="00D13E63"/>
    <w:rsid w:val="00D6589B"/>
    <w:rsid w:val="00D674DF"/>
    <w:rsid w:val="00D67F5D"/>
    <w:rsid w:val="00D766EC"/>
    <w:rsid w:val="00D95A64"/>
    <w:rsid w:val="00DA263D"/>
    <w:rsid w:val="00DD0C4B"/>
    <w:rsid w:val="00E81C2F"/>
    <w:rsid w:val="00EC07AB"/>
    <w:rsid w:val="00ED096B"/>
    <w:rsid w:val="00EF06A2"/>
    <w:rsid w:val="00EF7F04"/>
    <w:rsid w:val="00F13DBE"/>
    <w:rsid w:val="00F56146"/>
    <w:rsid w:val="00F9675C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85D"/>
    <w:pPr>
      <w:ind w:left="720"/>
      <w:contextualSpacing/>
    </w:pPr>
  </w:style>
  <w:style w:type="character" w:styleId="CommentReference">
    <w:name w:val="annotation reference"/>
    <w:uiPriority w:val="99"/>
    <w:semiHidden/>
    <w:rsid w:val="00ED09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D09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D096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F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7F58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3B5670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421</Words>
  <Characters>2153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2573</CharactersWithSpaces>
  <SharedDoc>false</SharedDoc>
  <HyperlinkBase>https://www.cabinet.qld.gov.au/documents/2013/Dec/SolarPV costs/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2014-03-07T04:18:00Z</cp:lastPrinted>
  <dcterms:created xsi:type="dcterms:W3CDTF">2017-10-25T00:50:00Z</dcterms:created>
  <dcterms:modified xsi:type="dcterms:W3CDTF">2018-03-06T01:17:00Z</dcterms:modified>
  <cp:category>Energy,Electricity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